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«катание на плавательных средствах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катамаранах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водном такси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каяках и других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Посещение аттракциона «катание на плавательных средствах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катамаранах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водном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каяках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 плав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Общие правила пользования услугой «катание на плавательных средствах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катамаранах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водном такси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каяках и других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Посещения аттракциона «катание на плавательных средствах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катамаранах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водном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каяках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«Катание на плавательном средстве»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Услуга «катание на плавательных средствах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катамаранах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водном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каяках и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допускаются под личную ответственность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Размещение на плавательном средстве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180" w:line="255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отказаться от дальнейшего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Надеть спасательный жилет и застегнуть его перед размещением на плавательное средство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поочередную посадку согласно указаниям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движения скорость и дистанцию необходимо выдерживать 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экстренном случае избежать столкновения друг с другом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выходе с плавательного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держаться одной рукою за выступ борта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другой при помощи инструктора покинуть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нарушениях правил катания на плавательном средстве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может лишить права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довозится до пирса и высаживается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денег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случайного опрокидывания в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следует держаться за борт плавательного средства и общими усилиями звать на помощь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в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Катающиеся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должны бережно относиться к взятому на прокат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осторожность при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участникам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обслуживающему персоналу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массовых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сотрудника службы проката подал сигнал оповещения покинуть водное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обязаны незамедлительно причалить к месту спуска на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 допускаются только в сопровождении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поведение детей на воде и их безопасность лежит на родителях или сопровождающих лицах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лет не могут быть сопровождающими при получении услуги для детей младше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пользованию услуг не допускаются лица в состоянии алкогольного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токсического или наркотического опьянения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агрессивно ведущие себя по отношению к другим посетителям мероприятия и персоналу учреждения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Каждому участнику катания выдается спасательный жилет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Участник катания обязан быть в нем до конца аттракциона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Во время катания на катамаране и водном такси во избежание опрокидывания и потопления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допускается раскачивание плавательного средства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наклоняться через борт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прыгать с катамарана в воду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Кататься на плавательных средствах допускается при соблюдении следующих критериев</w:t>
      </w:r>
      <w:r>
        <w:rPr>
          <w:rtl w:val="0"/>
          <w:lang w:val="ru-RU"/>
        </w:rPr>
        <w:t>:</w:t>
      </w:r>
    </w:p>
    <w:p>
      <w:pPr>
        <w:pStyle w:val="wiki"/>
        <w:numPr>
          <w:ilvl w:val="2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катамаране или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водном такси могут одномоментно кататься гости при условии соблюдения одной из следующих рассадок</w:t>
      </w:r>
      <w:r>
        <w:rPr>
          <w:rtl w:val="0"/>
          <w:lang w:val="ru-RU"/>
        </w:rPr>
        <w:t xml:space="preserve">: 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- 4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: 2 </w:t>
      </w:r>
      <w:r>
        <w:rPr>
          <w:rtl w:val="0"/>
          <w:lang w:val="ru-RU"/>
        </w:rPr>
        <w:t xml:space="preserve">взрослых 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ребенка ростом не более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- 3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: 2 </w:t>
      </w:r>
      <w:r>
        <w:rPr>
          <w:rtl w:val="0"/>
          <w:lang w:val="ru-RU"/>
        </w:rPr>
        <w:t xml:space="preserve">взрослых 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ребенок ростом не более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- 3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: 1 </w:t>
      </w:r>
      <w:r>
        <w:rPr>
          <w:rtl w:val="0"/>
          <w:lang w:val="ru-RU"/>
        </w:rPr>
        <w:t xml:space="preserve">взрослый 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один из которых ростом выше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второй не более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- 2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: 2 </w:t>
      </w:r>
      <w:r>
        <w:rPr>
          <w:rtl w:val="0"/>
          <w:lang w:val="ru-RU"/>
        </w:rPr>
        <w:t>взрослых</w:t>
      </w:r>
      <w:r>
        <w:rPr>
          <w:rtl w:val="0"/>
          <w:lang w:val="ru-RU"/>
        </w:rPr>
        <w:t>;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- 2 </w:t>
      </w:r>
      <w:r>
        <w:rPr>
          <w:rtl w:val="0"/>
          <w:lang w:val="ru-RU"/>
        </w:rPr>
        <w:t>человека</w:t>
      </w:r>
      <w:r>
        <w:rPr>
          <w:rtl w:val="0"/>
          <w:lang w:val="ru-RU"/>
        </w:rPr>
        <w:t xml:space="preserve">: 1 </w:t>
      </w:r>
      <w:r>
        <w:rPr>
          <w:rtl w:val="0"/>
          <w:lang w:val="ru-RU"/>
        </w:rPr>
        <w:t xml:space="preserve">взрослый 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ребенок любого роста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) </w:t>
      </w:r>
      <w:r>
        <w:rPr>
          <w:rtl w:val="0"/>
          <w:lang w:val="ru-RU"/>
        </w:rPr>
        <w:t xml:space="preserve">С одним взрослым не более двух детей при этом рост одного из них должен быть более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ind w:left="1080" w:firstLine="0"/>
        <w:jc w:val="both"/>
      </w:pPr>
      <w:r>
        <w:rPr>
          <w:rtl w:val="0"/>
          <w:lang w:val="ru-RU"/>
        </w:rPr>
        <w:t xml:space="preserve">- 1 </w:t>
      </w:r>
      <w:r>
        <w:rPr>
          <w:rtl w:val="0"/>
          <w:lang w:val="ru-RU"/>
        </w:rPr>
        <w:t xml:space="preserve">человек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взрослый</w:t>
      </w:r>
      <w:r>
        <w:rPr>
          <w:rtl w:val="0"/>
          <w:lang w:val="ru-RU"/>
        </w:rPr>
        <w:t>;</w:t>
      </w:r>
    </w:p>
    <w:p>
      <w:pPr>
        <w:pStyle w:val="wiki"/>
        <w:numPr>
          <w:ilvl w:val="2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Каяк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один человек не более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>.</w:t>
      </w:r>
    </w:p>
    <w:p>
      <w:pPr>
        <w:pStyle w:val="wiki"/>
        <w:numPr>
          <w:ilvl w:val="2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SUP: </w:t>
      </w:r>
      <w:r>
        <w:rPr>
          <w:rtl w:val="0"/>
          <w:lang w:val="ru-RU"/>
        </w:rPr>
        <w:t>один человек</w:t>
      </w:r>
    </w:p>
    <w:p>
      <w:pPr>
        <w:pStyle w:val="wiki"/>
        <w:numPr>
          <w:ilvl w:val="1"/>
          <w:numId w:val="13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Посадка на плавательное средство осуществляется поочередно с помощью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2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 окончании прогулки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сход на пирс осуществляется поочередно под контролем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2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Управление водным такси во время движения производится инструктором проката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Самостоятельное катание на водном такси гостями не допускается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1"/>
          <w:numId w:val="12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Во время катания гость имеет право осуществлять самостоятельную высадку на острове «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зайцев» и прогулку в пределах оплаченного согласно сеанса времени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2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Катание на плавательном средстве лицам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на воде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нанести повреждения 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Оставлять на плавательном средстве сумки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одежду и иные посторонние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бросать в воду любые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Выходить на воду без спасательного жилета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Сидеть на бортах плавательного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повреждать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ударяя ногами или другими предметами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опасные ситуации на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«паровозиком»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играть в догонялки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салочки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создающие помехи безопасному и комфортному отдыху других участников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катания запрещено вставать и меняться местами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раскачивать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переворачивать плавательного средства и прыгать с них в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Устраивать столкновения с другими плавательными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Употреблять спиртные напитки и любые наркотические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Заплывать за пределы разрешенной зоны для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Переходить с одного плавательного средства на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Снимать жилеты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плавательные средства совместно с животными не рекомендуется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отстранить нарушителей от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денежных средств в данной ситуации не 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плавательном средстве» является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получении которой выполнение правил поможет вам и окружающим избежать получение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</w:r>
    </w:p>
    <w:p>
      <w:pPr>
        <w:pStyle w:val="Normal.0"/>
        <w:spacing w:after="180" w:line="255" w:lineRule="atLeast"/>
      </w:pPr>
      <w:r>
        <w:rPr>
          <w:rFonts w:ascii="Tahoma" w:cs="Tahoma" w:hAnsi="Tahoma" w:eastAsia="Tahoma"/>
          <w:outline w:val="0"/>
          <w:color w:val="4a4a4a"/>
          <w:sz w:val="17"/>
          <w:szCs w:val="17"/>
          <w:u w:color="4a4a4a"/>
          <w14:textFill>
            <w14:solidFill>
              <w14:srgbClr w14:val="4A4A4A"/>
            </w14:solidFill>
          </w14:textFill>
        </w:rPr>
        <w:br w:type="textWrapping"/>
        <w:br w:type="textWrapping"/>
      </w:r>
      <w:r>
        <w:rPr>
          <w:rFonts w:ascii="Tahoma" w:cs="Tahoma" w:hAnsi="Tahoma" w:eastAsia="Tahoma"/>
          <w:outline w:val="0"/>
          <w:color w:val="4a4a4a"/>
          <w:sz w:val="21"/>
          <w:szCs w:val="21"/>
          <w:u w:color="4a4a4a"/>
          <w14:textFill>
            <w14:solidFill>
              <w14:srgbClr w14:val="4A4A4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392" w:right="849" w:bottom="38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69" w:hanging="58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72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260" w:hanging="72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800" w:hanging="108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1980" w:hanging="108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2520" w:hanging="144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2700" w:hanging="144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3240" w:hanging="1800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386"/>
        </w:tabs>
        <w:ind w:left="393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23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1">
      <w:startOverride w:val="8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18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